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关于举办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山西省第九届会计信息化暨会计职业技能竞赛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赛前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线上培训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的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各市财政局，各有关单位：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为帮助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会计人员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熟悉竞赛流程和规则，提升实践应用能力，按照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竞赛组委会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现启动赛前培训工作。请各赛区、各单位组织会计人员积极参加。</w:t>
      </w:r>
    </w:p>
    <w:p>
      <w:pPr>
        <w:ind w:firstLine="64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培训时间及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内容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2068"/>
        <w:gridCol w:w="2933"/>
        <w:gridCol w:w="1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课程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授课教师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7月25日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9:00-11:00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竞赛流程及规则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续慧泓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7月25日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15:00-18:00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政府会计准则应用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昝志宏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7月26日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8:30-11:30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企业会计准则应用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赵爱萍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7月27日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8:30-11:30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EXCEL会计数据处理应用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  征</w:t>
            </w:r>
          </w:p>
        </w:tc>
      </w:tr>
    </w:tbl>
    <w:p>
      <w:pPr>
        <w:numPr>
          <w:ilvl w:val="0"/>
          <w:numId w:val="1"/>
        </w:numPr>
        <w:ind w:firstLine="64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培训形式：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线上直播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，直播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地址为：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"https://meeting.tencent.com/l/uH5hVbvdPyCU"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t>https://meeting.tencent.com/l/uH5hVbvdPyCU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直播结束后，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生成回放并在会计之星网站发布。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12" w:firstLineChars="1504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山西省财政厅会计处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2023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BE4AC3"/>
    <w:multiLevelType w:val="singleLevel"/>
    <w:tmpl w:val="EEBE4AC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59"/>
    <w:rsid w:val="002D6FB5"/>
    <w:rsid w:val="002E26D1"/>
    <w:rsid w:val="004A104B"/>
    <w:rsid w:val="007F4B59"/>
    <w:rsid w:val="00823880"/>
    <w:rsid w:val="00BB5E26"/>
    <w:rsid w:val="00BD1DFA"/>
    <w:rsid w:val="00D357C8"/>
    <w:rsid w:val="2DB546AA"/>
    <w:rsid w:val="33FFC330"/>
    <w:rsid w:val="3E3EC57D"/>
    <w:rsid w:val="3FBD288F"/>
    <w:rsid w:val="577FCAED"/>
    <w:rsid w:val="5FBFB07F"/>
    <w:rsid w:val="5FDD0ABB"/>
    <w:rsid w:val="6FFE622D"/>
    <w:rsid w:val="7BD3556A"/>
    <w:rsid w:val="7EED8E61"/>
    <w:rsid w:val="7EFF1E4B"/>
    <w:rsid w:val="7FFB4DD4"/>
    <w:rsid w:val="BBD45699"/>
    <w:rsid w:val="D79FDB1A"/>
    <w:rsid w:val="DB7BB277"/>
    <w:rsid w:val="EE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452</Characters>
  <Lines>3</Lines>
  <Paragraphs>1</Paragraphs>
  <TotalTime>23</TotalTime>
  <ScaleCrop>false</ScaleCrop>
  <LinksUpToDate>false</LinksUpToDate>
  <CharactersWithSpaces>530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2023-07-24T07:47:00Z</dcterms:created>
  <dc:creator>uig120@163.com</dc:creator>
  <cp:lastModifiedBy>uos</cp:lastModifiedBy>
  <cp:lastPrinted>2023-07-24T12:11:59Z</cp:lastPrinted>
  <dcterms:modified xsi:type="dcterms:W3CDTF">2023-07-24T12:15:52Z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